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BD" w:rsidRPr="006534BD" w:rsidRDefault="006534BD" w:rsidP="006534BD">
      <w:pPr>
        <w:widowControl/>
        <w:shd w:val="clear" w:color="auto" w:fill="FFFFFF"/>
        <w:spacing w:line="480" w:lineRule="atLeast"/>
        <w:jc w:val="center"/>
        <w:rPr>
          <w:rFonts w:ascii="微软雅黑" w:eastAsia="微软雅黑" w:hAnsi="微软雅黑" w:cs="宋体"/>
          <w:color w:val="4B4B4B"/>
          <w:kern w:val="0"/>
          <w:sz w:val="27"/>
          <w:szCs w:val="27"/>
        </w:rPr>
      </w:pPr>
      <w:r w:rsidRPr="006534BD">
        <w:rPr>
          <w:rFonts w:ascii="微软雅黑" w:eastAsia="微软雅黑" w:hAnsi="微软雅黑" w:cs="宋体" w:hint="eastAsia"/>
          <w:b/>
          <w:bCs/>
          <w:color w:val="4B4B4B"/>
          <w:kern w:val="0"/>
          <w:sz w:val="27"/>
          <w:szCs w:val="27"/>
          <w:bdr w:val="none" w:sz="0" w:space="0" w:color="auto" w:frame="1"/>
        </w:rPr>
        <w:t>高等学校思想政治理论课建设标准</w:t>
      </w:r>
    </w:p>
    <w:tbl>
      <w:tblPr>
        <w:tblW w:w="9606" w:type="dxa"/>
        <w:shd w:val="clear" w:color="auto" w:fill="FFFFFF"/>
        <w:tblLayout w:type="fixed"/>
        <w:tblCellMar>
          <w:left w:w="0" w:type="dxa"/>
          <w:right w:w="0" w:type="dxa"/>
        </w:tblCellMar>
        <w:tblLook w:val="04A0" w:firstRow="1" w:lastRow="0" w:firstColumn="1" w:lastColumn="0" w:noHBand="0" w:noVBand="1"/>
      </w:tblPr>
      <w:tblGrid>
        <w:gridCol w:w="817"/>
        <w:gridCol w:w="709"/>
        <w:gridCol w:w="6520"/>
        <w:gridCol w:w="709"/>
        <w:gridCol w:w="851"/>
      </w:tblGrid>
      <w:tr w:rsidR="006534BD" w:rsidRPr="006534BD" w:rsidTr="006534BD">
        <w:trPr>
          <w:trHeight w:val="454"/>
          <w:tblHeader/>
        </w:trPr>
        <w:tc>
          <w:tcPr>
            <w:tcW w:w="817" w:type="dxa"/>
            <w:tcBorders>
              <w:top w:val="single" w:sz="8" w:space="0" w:color="auto"/>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48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一级指标</w:t>
            </w:r>
          </w:p>
        </w:tc>
        <w:tc>
          <w:tcPr>
            <w:tcW w:w="709"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48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二级指标</w:t>
            </w:r>
          </w:p>
        </w:tc>
        <w:tc>
          <w:tcPr>
            <w:tcW w:w="6520"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48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三级指标</w:t>
            </w:r>
          </w:p>
        </w:tc>
        <w:tc>
          <w:tcPr>
            <w:tcW w:w="709"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48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指标类型</w:t>
            </w:r>
          </w:p>
        </w:tc>
        <w:tc>
          <w:tcPr>
            <w:tcW w:w="851"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48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责任部门</w:t>
            </w:r>
          </w:p>
        </w:tc>
      </w:tr>
      <w:tr w:rsidR="006534BD" w:rsidRPr="006534BD" w:rsidTr="006534BD">
        <w:trPr>
          <w:trHeight w:val="454"/>
        </w:trPr>
        <w:tc>
          <w:tcPr>
            <w:tcW w:w="817"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组织管理</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领导体制</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学校党委直接领导，协调校行政负责实施，分管校领导具体负责，并成立相应的领导机构。</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学校党委、行政领导</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工作机制</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1．校党委（常委）会议、校长办公会每学期至少召开一次专题会议研究工作，会议决议能够及时落实。</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学校党委、行政领导</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学校党委书记或校长每学年到思想政治理论课教研部门开现场办公会至少1次，听取思想政治理论课教学工作汇报，解决实际问题。学校党政主要负责同志每学期至少讲授1次思想政治理论课。学校分管领导每学期到堂听课2次以上。</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r w:rsidRPr="006534BD">
              <w:rPr>
                <w:rFonts w:ascii="Symbol" w:eastAsia="微软雅黑" w:hAnsi="Symbol" w:cs="宋体"/>
                <w:color w:val="4B4B4B"/>
                <w:kern w:val="0"/>
                <w:sz w:val="24"/>
                <w:szCs w:val="24"/>
                <w:bdr w:val="none" w:sz="0" w:space="0" w:color="auto" w:frame="1"/>
              </w:rPr>
              <w:t></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3．把思想政治理论课建设列入学校事业发展规划，作为学校重点课程建设，有条件的本科院校同时应作为重点学科建设，每年至少进行一次专项督查。</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4．学校宣传、人事、教务、研究生院（处）、财务、科研、学生处、团委等党政部门和</w:t>
            </w: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教学科研机构各负其责，相互配合，落实思想政治理论课教育教学、学科建设、人才培养、科研立项、社会实践、经费保障等各方面政策和措施。</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学校党委、行政领导及有关部门</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机构建设</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独立设置直属学校领导的、与学校其他二级院（系）行政同级的思想政治理论课教学科研组织二级机构，承担全校本、专科学生和研究生思想政治理论课教学任务，统一管理思想政治理论课教师。有马克思主义理论学科点的机构同时应作为马克思主义理论学科点的依托单位，承担马克思主义理论科学研究、学科建设、研究生培养等工作。</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r w:rsidRPr="006534BD">
              <w:rPr>
                <w:rFonts w:ascii="Symbol" w:eastAsia="微软雅黑" w:hAnsi="Symbol" w:cs="宋体"/>
                <w:color w:val="4B4B4B"/>
                <w:kern w:val="0"/>
                <w:sz w:val="24"/>
                <w:szCs w:val="24"/>
                <w:bdr w:val="none" w:sz="0" w:space="0" w:color="auto" w:frame="1"/>
              </w:rPr>
              <w:t></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学校党委、行政领导</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2．配齐二级机构领导班子，班子成员应是中共党员，且从事马克思主义理论学科研究和思想政治理论课教学，不得兼任其他二级院（系）的主要负责人。</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r w:rsidRPr="006534BD">
              <w:rPr>
                <w:rFonts w:ascii="Symbol" w:eastAsia="微软雅黑" w:hAnsi="Symbol" w:cs="宋体"/>
                <w:color w:val="4B4B4B"/>
                <w:kern w:val="0"/>
                <w:sz w:val="24"/>
                <w:szCs w:val="24"/>
                <w:bdr w:val="none" w:sz="0" w:space="0" w:color="auto" w:frame="1"/>
              </w:rPr>
              <w:t></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学校党委、行政领导及有关部门</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3．与专业院系同等配备办公用房和教学设备、基本图书资料、国内外主要社科期刊、声像资料、教学课件以及办公设备等，满足教学及办公需要。</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专项经费</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学校在保障思想政治理论课教学科研机构正常运转的各项经费的同时，本科院校按在校本硕</w:t>
            </w:r>
            <w:proofErr w:type="gramStart"/>
            <w:r w:rsidRPr="006534BD">
              <w:rPr>
                <w:rFonts w:ascii="宋体" w:hAnsi="宋体" w:cs="宋体" w:hint="eastAsia"/>
                <w:color w:val="4B4B4B"/>
                <w:kern w:val="0"/>
                <w:sz w:val="24"/>
                <w:szCs w:val="24"/>
                <w:bdr w:val="none" w:sz="0" w:space="0" w:color="auto" w:frame="1"/>
              </w:rPr>
              <w:t>博全部</w:t>
            </w:r>
            <w:proofErr w:type="gramEnd"/>
            <w:r w:rsidRPr="006534BD">
              <w:rPr>
                <w:rFonts w:ascii="宋体" w:hAnsi="宋体" w:cs="宋体" w:hint="eastAsia"/>
                <w:color w:val="4B4B4B"/>
                <w:kern w:val="0"/>
                <w:sz w:val="24"/>
                <w:szCs w:val="24"/>
                <w:bdr w:val="none" w:sz="0" w:space="0" w:color="auto" w:frame="1"/>
              </w:rPr>
              <w:t>在校生总数每生每年不低于20元，专科院校每生每年不低于15元的标准提取专项经费，用于教师学术交流、实践研修等，并随着学校经费的增长逐年增加。专项经费安排使用明确，专款专用。</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r w:rsidRPr="006534BD">
              <w:rPr>
                <w:rFonts w:ascii="Symbol" w:eastAsia="微软雅黑" w:hAnsi="Symbol" w:cs="宋体"/>
                <w:color w:val="4B4B4B"/>
                <w:kern w:val="0"/>
                <w:sz w:val="24"/>
                <w:szCs w:val="24"/>
                <w:bdr w:val="none" w:sz="0" w:space="0" w:color="auto" w:frame="1"/>
              </w:rPr>
              <w:t></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学校党委、行政领导及财务部门</w:t>
            </w:r>
          </w:p>
        </w:tc>
      </w:tr>
      <w:tr w:rsidR="006534BD" w:rsidRPr="006534BD" w:rsidTr="006534BD">
        <w:trPr>
          <w:trHeight w:val="454"/>
        </w:trPr>
        <w:tc>
          <w:tcPr>
            <w:tcW w:w="817"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教学管理</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管理制度</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教学管理制度健全，建立备课、听课制度以及教学内容和教学质量监控制度，认真执行各项管理规章制度，检查、评价制度等。教学档案齐全。</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课程设置</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1．按照本、专科生思想政治理论课“05方案”，研究生思想政治</w:t>
            </w:r>
            <w:proofErr w:type="gramStart"/>
            <w:r w:rsidRPr="006534BD">
              <w:rPr>
                <w:rFonts w:ascii="宋体" w:hAnsi="宋体" w:cs="宋体" w:hint="eastAsia"/>
                <w:color w:val="4B4B4B"/>
                <w:kern w:val="0"/>
                <w:sz w:val="24"/>
                <w:szCs w:val="24"/>
                <w:bdr w:val="none" w:sz="0" w:space="0" w:color="auto" w:frame="1"/>
              </w:rPr>
              <w:t>理论课新方案</w:t>
            </w:r>
            <w:proofErr w:type="gramEnd"/>
            <w:r w:rsidRPr="006534BD">
              <w:rPr>
                <w:rFonts w:ascii="宋体" w:hAnsi="宋体" w:cs="宋体" w:hint="eastAsia"/>
                <w:color w:val="4B4B4B"/>
                <w:kern w:val="0"/>
                <w:sz w:val="24"/>
                <w:szCs w:val="24"/>
                <w:bdr w:val="none" w:sz="0" w:space="0" w:color="auto" w:frame="1"/>
              </w:rPr>
              <w:t>（2011年秋季开始实施）的规定，根据学校培养人才层次，落实课程和学分及对应的课堂教学学时，无挪用或减少课时的情况。</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r w:rsidRPr="006534BD">
              <w:rPr>
                <w:rFonts w:ascii="Symbol" w:eastAsia="微软雅黑" w:hAnsi="Symbol" w:cs="宋体"/>
                <w:color w:val="4B4B4B"/>
                <w:kern w:val="0"/>
                <w:sz w:val="24"/>
                <w:szCs w:val="24"/>
                <w:bdr w:val="none" w:sz="0" w:space="0" w:color="auto" w:frame="1"/>
              </w:rPr>
              <w:t></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研究生院（处）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2．积极创造条件开设本科生和研究生层次思想政治理论课选修课。</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教材使用</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1．使用马克思主义理论研究和建设工程重点教材思想政治理论</w:t>
            </w:r>
            <w:proofErr w:type="gramStart"/>
            <w:r w:rsidRPr="006534BD">
              <w:rPr>
                <w:rFonts w:ascii="宋体" w:hAnsi="宋体" w:cs="宋体" w:hint="eastAsia"/>
                <w:color w:val="4B4B4B"/>
                <w:kern w:val="0"/>
                <w:sz w:val="24"/>
                <w:szCs w:val="24"/>
                <w:bdr w:val="none" w:sz="0" w:space="0" w:color="auto" w:frame="1"/>
              </w:rPr>
              <w:t>课最新</w:t>
            </w:r>
            <w:proofErr w:type="gramEnd"/>
            <w:r w:rsidRPr="006534BD">
              <w:rPr>
                <w:rFonts w:ascii="宋体" w:hAnsi="宋体" w:cs="宋体" w:hint="eastAsia"/>
                <w:color w:val="4B4B4B"/>
                <w:kern w:val="0"/>
                <w:sz w:val="24"/>
                <w:szCs w:val="24"/>
                <w:bdr w:val="none" w:sz="0" w:space="0" w:color="auto" w:frame="1"/>
              </w:rPr>
              <w:t>版本统编教材。</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研究生院（处）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2．“形势与政策”课要根据教育部下发的教育教学要点组织教学，选用中宣部和教育部组织制作的《时事报告（大学生版）》和《时事》DVD作为学生学习辅导资料。</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课堂教学</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1．课堂规模一般不超过100人，推行中班教学，倡导中班上课，小班</w:t>
            </w:r>
            <w:proofErr w:type="gramStart"/>
            <w:r w:rsidRPr="006534BD">
              <w:rPr>
                <w:rFonts w:ascii="宋体" w:hAnsi="宋体" w:cs="宋体" w:hint="eastAsia"/>
                <w:color w:val="4B4B4B"/>
                <w:kern w:val="0"/>
                <w:sz w:val="24"/>
                <w:szCs w:val="24"/>
                <w:bdr w:val="none" w:sz="0" w:space="0" w:color="auto" w:frame="1"/>
              </w:rPr>
              <w:t>研学讨论</w:t>
            </w:r>
            <w:proofErr w:type="gramEnd"/>
            <w:r w:rsidRPr="006534BD">
              <w:rPr>
                <w:rFonts w:ascii="宋体" w:hAnsi="宋体" w:cs="宋体" w:hint="eastAsia"/>
                <w:color w:val="4B4B4B"/>
                <w:kern w:val="0"/>
                <w:sz w:val="24"/>
                <w:szCs w:val="24"/>
                <w:bdr w:val="none" w:sz="0" w:space="0" w:color="auto" w:frame="1"/>
              </w:rPr>
              <w:t>的教学模式。</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2．合理安排课堂教学时间。</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实践教学</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实践教学纳入教学计划，统筹思想政治理论课各门课的实践教学、落实学分（本科2学分，专科1学分）、教学内容、指导教师和专项经费。实践教学覆盖全体学生，建立相对稳定的校外实践教学基地。</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财务处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学生处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lastRenderedPageBreak/>
              <w:t>团委</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w:t>
            </w:r>
            <w:bookmarkStart w:id="0" w:name="_GoBack"/>
            <w:bookmarkEnd w:id="0"/>
            <w:r w:rsidRPr="006534BD">
              <w:rPr>
                <w:rFonts w:ascii="宋体" w:hAnsi="宋体" w:cs="宋体" w:hint="eastAsia"/>
                <w:color w:val="4B4B4B"/>
                <w:kern w:val="0"/>
                <w:sz w:val="24"/>
                <w:szCs w:val="24"/>
                <w:bdr w:val="none" w:sz="0" w:space="0" w:color="auto" w:frame="1"/>
              </w:rPr>
              <w:t>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教学方法改革</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1．积极探索教学方法改革、优化教学手段。</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2．改革考试评价方式，建立健全科学全面准确的考试考核评价体系，注重过程考核。</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教学成果</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列入校级教学成果类奖系列评选之中，并积极组织推荐参评校级以上教学评选活动。</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tc>
      </w:tr>
      <w:tr w:rsidR="006534BD" w:rsidRPr="006534BD" w:rsidTr="006534BD">
        <w:trPr>
          <w:trHeight w:val="454"/>
        </w:trPr>
        <w:tc>
          <w:tcPr>
            <w:tcW w:w="817"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队伍管理</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 </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政治方向</w:t>
            </w:r>
          </w:p>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 </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思想政治理论课教师应坚持正确的政治方向，有扎实的马克思主义理论基础，在事关政治原则、政治立场和政治方向的问题上与党中央保持一致。</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师德师风</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思想政治理论课教师具有良好的思想品德、职业道德、责任意识和敬业精神，无学术不端、教学违纪现象。</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ind w:left="15" w:hanging="15"/>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教师选配</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本科院校思想政治理论课专职教师按师生比1:350—400配备，专科院校思想政治理论课专职教师按师生比1:550—600配备。</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2．兼职教师具有硕士研究生以上学历（专科院校兼职教师具有本科以上学历）和相关专业背景，按学校有关规定考核合格。</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3．新任专职教师原则上应是中共党员，并具备马克思主义理论相关学科背景硕士以上学位。</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ind w:left="15" w:hanging="15"/>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培养培训</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1．新任专职教师必须参加省级岗前培训；所有专职教师应积极参加省级或中宣部、教育部组织的示范培训或课程培训或骨干研修。学校每年对全体教师至少培训一次。</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w:t>
            </w:r>
          </w:p>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 </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2．每学年至少安排1/4的专职教师开展学术交流、实践研修和学习考察活动。有条件的学校可以开展国（境）</w:t>
            </w:r>
            <w:proofErr w:type="gramStart"/>
            <w:r w:rsidRPr="006534BD">
              <w:rPr>
                <w:rFonts w:ascii="宋体" w:hAnsi="宋体" w:cs="宋体" w:hint="eastAsia"/>
                <w:color w:val="4B4B4B"/>
                <w:kern w:val="0"/>
                <w:sz w:val="24"/>
                <w:szCs w:val="24"/>
                <w:bdr w:val="none" w:sz="0" w:space="0" w:color="auto" w:frame="1"/>
              </w:rPr>
              <w:t>外学术</w:t>
            </w:r>
            <w:proofErr w:type="gramEnd"/>
            <w:r w:rsidRPr="006534BD">
              <w:rPr>
                <w:rFonts w:ascii="宋体" w:hAnsi="宋体" w:cs="宋体" w:hint="eastAsia"/>
                <w:color w:val="4B4B4B"/>
                <w:kern w:val="0"/>
                <w:sz w:val="24"/>
                <w:szCs w:val="24"/>
                <w:bdr w:val="none" w:sz="0" w:space="0" w:color="auto" w:frame="1"/>
              </w:rPr>
              <w:t>交流和实践研修。</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3．安排专职教师进行脱产或半脱产进修，每人每4年至少一次。</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4．鼓励支持专职教师攻读马克思主义理论相关学科学位。</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职务评聘</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1．思想政治理论</w:t>
            </w:r>
            <w:proofErr w:type="gramStart"/>
            <w:r w:rsidRPr="006534BD">
              <w:rPr>
                <w:rFonts w:ascii="宋体" w:hAnsi="宋体" w:cs="宋体" w:hint="eastAsia"/>
                <w:color w:val="4B4B4B"/>
                <w:kern w:val="0"/>
                <w:sz w:val="24"/>
                <w:szCs w:val="24"/>
                <w:bdr w:val="none" w:sz="0" w:space="0" w:color="auto" w:frame="1"/>
              </w:rPr>
              <w:t>课专业</w:t>
            </w:r>
            <w:proofErr w:type="gramEnd"/>
            <w:r w:rsidRPr="006534BD">
              <w:rPr>
                <w:rFonts w:ascii="宋体" w:hAnsi="宋体" w:cs="宋体" w:hint="eastAsia"/>
                <w:color w:val="4B4B4B"/>
                <w:kern w:val="0"/>
                <w:sz w:val="24"/>
                <w:szCs w:val="24"/>
                <w:bdr w:val="none" w:sz="0" w:space="0" w:color="auto" w:frame="1"/>
              </w:rPr>
              <w:t>技术职务高级岗位比例不低于学校重点学科高级岗位设置的平均水平，且不得挪作他用。</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2．制定实施符合思想政治理论课教师职业特点的职务职称评聘标准，提高教学和教学研究占比。被有关部门采纳并发挥积极作用的理论文章、调研报告等应作为专业技术职务评定的依据。</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经济待遇</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思想政治理论课教师的岗位津贴和课时补助等纳入学校内部分配体系统筹考虑，思想政治理论课教师工作量、</w:t>
            </w:r>
            <w:proofErr w:type="gramStart"/>
            <w:r w:rsidRPr="006534BD">
              <w:rPr>
                <w:rFonts w:ascii="宋体" w:hAnsi="宋体" w:cs="宋体" w:hint="eastAsia"/>
                <w:color w:val="4B4B4B"/>
                <w:kern w:val="0"/>
                <w:sz w:val="24"/>
                <w:szCs w:val="24"/>
                <w:bdr w:val="none" w:sz="0" w:space="0" w:color="auto" w:frame="1"/>
              </w:rPr>
              <w:t>课酬计算</w:t>
            </w:r>
            <w:proofErr w:type="gramEnd"/>
            <w:r w:rsidRPr="006534BD">
              <w:rPr>
                <w:rFonts w:ascii="宋体" w:hAnsi="宋体" w:cs="宋体" w:hint="eastAsia"/>
                <w:color w:val="4B4B4B"/>
                <w:kern w:val="0"/>
                <w:sz w:val="24"/>
                <w:szCs w:val="24"/>
                <w:bdr w:val="none" w:sz="0" w:space="0" w:color="auto" w:frame="1"/>
              </w:rPr>
              <w:t>标准与其他专业课教师一致，教师的实际平均收入不低于本校教师的平均水平。</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2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表彰评优</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纳入学校各类教师表彰体系中，并为思想政治理论课教师确定一定比例，进行统一表彰。</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tc>
      </w:tr>
      <w:tr w:rsidR="006534BD" w:rsidRPr="006534BD" w:rsidTr="006534BD">
        <w:trPr>
          <w:trHeight w:val="454"/>
        </w:trPr>
        <w:tc>
          <w:tcPr>
            <w:tcW w:w="817"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学科建设</w:t>
            </w:r>
          </w:p>
        </w:tc>
        <w:tc>
          <w:tcPr>
            <w:tcW w:w="709"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学科点</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建设</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1．马克思主义理论学科点设在思想政治理论课教学科研机构，首要任务是为思想政治理论课教育教学服务。</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r w:rsidRPr="006534BD">
              <w:rPr>
                <w:rFonts w:ascii="Symbol" w:eastAsia="微软雅黑" w:hAnsi="Symbol" w:cs="宋体"/>
                <w:color w:val="4B4B4B"/>
                <w:kern w:val="0"/>
                <w:sz w:val="24"/>
                <w:szCs w:val="24"/>
                <w:bdr w:val="none" w:sz="0" w:space="0" w:color="auto" w:frame="1"/>
              </w:rPr>
              <w:t></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人事处</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科研处</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研究生院（处）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2．除马克思主义理论学科下属的本科专业外，马克思主义理论学科点不办其他本科专业。</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r w:rsidRPr="006534BD">
              <w:rPr>
                <w:rFonts w:ascii="Symbol" w:eastAsia="微软雅黑" w:hAnsi="Symbol" w:cs="宋体"/>
                <w:color w:val="4B4B4B"/>
                <w:kern w:val="0"/>
                <w:sz w:val="24"/>
                <w:szCs w:val="24"/>
                <w:bdr w:val="none" w:sz="0" w:space="0" w:color="auto" w:frame="1"/>
              </w:rPr>
              <w:t></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3．马克思主义理论学科的学术骨干必须是思想政治理论课的教学骨干。每一位导师至少承担思想政治理论课一门课的教学任务。</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A</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科研工作</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设立思想政治理论课教育教学研究专项课题。创造条件支持思想政治理论课教师申报各级各类课题，参评各种科研成果奖等。</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科研处</w:t>
            </w:r>
          </w:p>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w:t>
            </w:r>
          </w:p>
        </w:tc>
      </w:tr>
      <w:tr w:rsidR="006534BD" w:rsidRPr="006534BD" w:rsidTr="006534BD">
        <w:trPr>
          <w:trHeight w:val="454"/>
        </w:trPr>
        <w:tc>
          <w:tcPr>
            <w:tcW w:w="817"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6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特色项目</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0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教学改革特色项目</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开展思想政治理论课教学改革与创新，并取得显著成果，其经验在全国或全省得到一定推广。</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宣传部</w:t>
            </w:r>
          </w:p>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教务处</w:t>
            </w:r>
          </w:p>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proofErr w:type="gramStart"/>
            <w:r w:rsidRPr="006534BD">
              <w:rPr>
                <w:rFonts w:ascii="宋体" w:hAnsi="宋体" w:cs="宋体" w:hint="eastAsia"/>
                <w:color w:val="4B4B4B"/>
                <w:kern w:val="0"/>
                <w:sz w:val="24"/>
                <w:szCs w:val="24"/>
                <w:bdr w:val="none" w:sz="0" w:space="0" w:color="auto" w:frame="1"/>
              </w:rPr>
              <w:t>思政课</w:t>
            </w:r>
            <w:proofErr w:type="gramEnd"/>
            <w:r w:rsidRPr="006534BD">
              <w:rPr>
                <w:rFonts w:ascii="宋体" w:hAnsi="宋体" w:cs="宋体" w:hint="eastAsia"/>
                <w:color w:val="4B4B4B"/>
                <w:kern w:val="0"/>
                <w:sz w:val="24"/>
                <w:szCs w:val="24"/>
                <w:bdr w:val="none" w:sz="0" w:space="0" w:color="auto" w:frame="1"/>
              </w:rPr>
              <w:t>教学科研机构</w:t>
            </w:r>
          </w:p>
        </w:tc>
      </w:tr>
      <w:tr w:rsidR="006534BD" w:rsidRPr="006534BD" w:rsidTr="006534BD">
        <w:trPr>
          <w:trHeight w:val="454"/>
        </w:trPr>
        <w:tc>
          <w:tcPr>
            <w:tcW w:w="817" w:type="dxa"/>
            <w:vMerge/>
            <w:tcBorders>
              <w:top w:val="nil"/>
              <w:left w:val="single" w:sz="8" w:space="0" w:color="auto"/>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0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其他</w:t>
            </w:r>
          </w:p>
        </w:tc>
        <w:tc>
          <w:tcPr>
            <w:tcW w:w="6520"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left"/>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能够推动思想政治理论课建设工作的其他有特色的项目。</w:t>
            </w:r>
          </w:p>
        </w:tc>
        <w:tc>
          <w:tcPr>
            <w:tcW w:w="709"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hideMark/>
          </w:tcPr>
          <w:p w:rsidR="006534BD" w:rsidRPr="006534BD" w:rsidRDefault="006534BD" w:rsidP="006534BD">
            <w:pPr>
              <w:widowControl/>
              <w:spacing w:line="340" w:lineRule="atLeast"/>
              <w:jc w:val="center"/>
              <w:rPr>
                <w:rFonts w:ascii="微软雅黑" w:eastAsia="微软雅黑" w:hAnsi="微软雅黑" w:cs="宋体"/>
                <w:color w:val="4B4B4B"/>
                <w:kern w:val="0"/>
                <w:sz w:val="24"/>
                <w:szCs w:val="24"/>
              </w:rPr>
            </w:pPr>
            <w:r w:rsidRPr="006534BD">
              <w:rPr>
                <w:rFonts w:ascii="宋体" w:hAnsi="宋体" w:cs="宋体" w:hint="eastAsia"/>
                <w:color w:val="4B4B4B"/>
                <w:kern w:val="0"/>
                <w:sz w:val="24"/>
                <w:szCs w:val="24"/>
                <w:bdr w:val="none" w:sz="0" w:space="0" w:color="auto" w:frame="1"/>
              </w:rPr>
              <w:t>B</w:t>
            </w:r>
          </w:p>
        </w:tc>
        <w:tc>
          <w:tcPr>
            <w:tcW w:w="851" w:type="dxa"/>
            <w:vMerge/>
            <w:tcBorders>
              <w:top w:val="nil"/>
              <w:left w:val="nil"/>
              <w:bottom w:val="single" w:sz="8" w:space="0" w:color="auto"/>
              <w:right w:val="single" w:sz="8" w:space="0" w:color="auto"/>
            </w:tcBorders>
            <w:shd w:val="clear" w:color="auto" w:fill="FFFFFF"/>
            <w:vAlign w:val="center"/>
            <w:hideMark/>
          </w:tcPr>
          <w:p w:rsidR="006534BD" w:rsidRPr="006534BD" w:rsidRDefault="006534BD" w:rsidP="006534BD">
            <w:pPr>
              <w:widowControl/>
              <w:spacing w:line="240" w:lineRule="auto"/>
              <w:jc w:val="left"/>
              <w:rPr>
                <w:rFonts w:ascii="微软雅黑" w:eastAsia="微软雅黑" w:hAnsi="微软雅黑" w:cs="宋体"/>
                <w:color w:val="4B4B4B"/>
                <w:kern w:val="0"/>
                <w:sz w:val="24"/>
                <w:szCs w:val="24"/>
              </w:rPr>
            </w:pPr>
          </w:p>
        </w:tc>
      </w:tr>
    </w:tbl>
    <w:p w:rsidR="00B7053E" w:rsidRPr="00B7053E" w:rsidRDefault="00B7053E" w:rsidP="00B7053E">
      <w:pPr>
        <w:pStyle w:val="a5"/>
        <w:shd w:val="clear" w:color="auto" w:fill="FFFFFF"/>
        <w:spacing w:before="150" w:beforeAutospacing="0" w:after="330" w:afterAutospacing="0" w:line="300" w:lineRule="atLeast"/>
        <w:ind w:left="150" w:right="150"/>
        <w:rPr>
          <w:rFonts w:asciiTheme="minorEastAsia" w:eastAsiaTheme="minorEastAsia" w:hAnsiTheme="minorEastAsia"/>
          <w:color w:val="6E6E6E"/>
        </w:rPr>
      </w:pPr>
      <w:r w:rsidRPr="00B7053E">
        <w:rPr>
          <w:rStyle w:val="a4"/>
          <w:rFonts w:asciiTheme="minorEastAsia" w:eastAsiaTheme="minorEastAsia" w:hAnsiTheme="minorEastAsia" w:cs="Arial" w:hint="eastAsia"/>
          <w:color w:val="000000"/>
          <w:sz w:val="21"/>
          <w:szCs w:val="21"/>
        </w:rPr>
        <w:t>说明：</w:t>
      </w:r>
    </w:p>
    <w:p w:rsidR="00B7053E" w:rsidRPr="00B7053E" w:rsidRDefault="00B7053E" w:rsidP="00B7053E">
      <w:pPr>
        <w:pStyle w:val="a5"/>
        <w:shd w:val="clear" w:color="auto" w:fill="FFFFFF"/>
        <w:spacing w:before="150" w:beforeAutospacing="0" w:after="330" w:afterAutospacing="0" w:line="300" w:lineRule="atLeast"/>
        <w:ind w:left="150" w:right="150"/>
        <w:rPr>
          <w:rFonts w:asciiTheme="minorEastAsia" w:eastAsiaTheme="minorEastAsia" w:hAnsiTheme="minorEastAsia" w:hint="eastAsia"/>
          <w:color w:val="6E6E6E"/>
        </w:rPr>
      </w:pPr>
      <w:r w:rsidRPr="00B7053E">
        <w:rPr>
          <w:rFonts w:asciiTheme="minorEastAsia" w:eastAsiaTheme="minorEastAsia" w:hAnsiTheme="minorEastAsia" w:cs="Arial"/>
          <w:color w:val="000000"/>
          <w:sz w:val="21"/>
          <w:szCs w:val="21"/>
        </w:rPr>
        <w:t xml:space="preserve">　　1.关于指标类别。建设指标分A*、A、B三类，共39项，其中A*为核心指标（7项），A为重点指标（9项），B为基本指标（23项）。</w:t>
      </w:r>
    </w:p>
    <w:p w:rsidR="00B7053E" w:rsidRPr="00B7053E" w:rsidRDefault="00B7053E" w:rsidP="00B7053E">
      <w:pPr>
        <w:pStyle w:val="a5"/>
        <w:shd w:val="clear" w:color="auto" w:fill="FFFFFF"/>
        <w:spacing w:before="150" w:beforeAutospacing="0" w:after="330" w:afterAutospacing="0" w:line="300" w:lineRule="atLeast"/>
        <w:ind w:left="150" w:right="150"/>
        <w:rPr>
          <w:rFonts w:asciiTheme="minorEastAsia" w:eastAsiaTheme="minorEastAsia" w:hAnsiTheme="minorEastAsia" w:hint="eastAsia"/>
          <w:color w:val="6E6E6E"/>
        </w:rPr>
      </w:pPr>
      <w:r w:rsidRPr="00B7053E">
        <w:rPr>
          <w:rFonts w:asciiTheme="minorEastAsia" w:eastAsiaTheme="minorEastAsia" w:hAnsiTheme="minorEastAsia" w:cs="Arial"/>
          <w:color w:val="000000"/>
          <w:sz w:val="21"/>
          <w:szCs w:val="21"/>
        </w:rPr>
        <w:t xml:space="preserve">　　2.关于评价标准。本科院校A*指标7项、A类指标8项以上、B类指标20项以上达标方可认定合格；专科院校A*指标5项、A类指标7项以上、B类指标19项以上达标方可认定合格。</w:t>
      </w:r>
    </w:p>
    <w:p w:rsidR="00B7053E" w:rsidRPr="00B7053E" w:rsidRDefault="00B7053E" w:rsidP="00B7053E">
      <w:pPr>
        <w:pStyle w:val="a5"/>
        <w:shd w:val="clear" w:color="auto" w:fill="FFFFFF"/>
        <w:spacing w:before="150" w:beforeAutospacing="0" w:after="330" w:afterAutospacing="0" w:line="300" w:lineRule="atLeast"/>
        <w:ind w:left="150" w:right="150"/>
        <w:rPr>
          <w:rFonts w:asciiTheme="minorEastAsia" w:eastAsiaTheme="minorEastAsia" w:hAnsiTheme="minorEastAsia" w:hint="eastAsia"/>
          <w:color w:val="6E6E6E"/>
        </w:rPr>
      </w:pPr>
      <w:r w:rsidRPr="00B7053E">
        <w:rPr>
          <w:rFonts w:asciiTheme="minorEastAsia" w:eastAsiaTheme="minorEastAsia" w:hAnsiTheme="minorEastAsia" w:cs="Arial"/>
          <w:color w:val="000000"/>
          <w:sz w:val="21"/>
          <w:szCs w:val="21"/>
        </w:rPr>
        <w:t xml:space="preserve">　　3.关于教师类别。专职教师是指编制在思想政治理论课教学科研机构的教师；兼职教师是指编制属其他教学机构或管理部门（单位）的教师。</w:t>
      </w:r>
    </w:p>
    <w:p w:rsidR="00BB7FF7" w:rsidRPr="00B7053E" w:rsidRDefault="00BB7FF7"/>
    <w:sectPr w:rsidR="00BB7FF7" w:rsidRPr="00B7053E" w:rsidSect="006534BD">
      <w:pgSz w:w="11907" w:h="16443"/>
      <w:pgMar w:top="1191" w:right="1191" w:bottom="1191" w:left="119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D7"/>
    <w:rsid w:val="006534BD"/>
    <w:rsid w:val="00955464"/>
    <w:rsid w:val="00B7053E"/>
    <w:rsid w:val="00BB7FF7"/>
    <w:rsid w:val="00C0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64"/>
    <w:pPr>
      <w:widowControl w:val="0"/>
      <w:spacing w:line="5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955464"/>
    <w:pPr>
      <w:spacing w:before="240" w:after="60" w:line="312" w:lineRule="atLeast"/>
      <w:jc w:val="center"/>
      <w:outlineLvl w:val="1"/>
    </w:pPr>
    <w:rPr>
      <w:rFonts w:ascii="Cambria" w:hAnsi="Cambria"/>
      <w:b/>
      <w:bCs/>
      <w:kern w:val="28"/>
      <w:sz w:val="32"/>
      <w:szCs w:val="32"/>
    </w:rPr>
  </w:style>
  <w:style w:type="character" w:customStyle="1" w:styleId="Char">
    <w:name w:val="副标题 Char"/>
    <w:link w:val="a3"/>
    <w:uiPriority w:val="11"/>
    <w:rsid w:val="00955464"/>
    <w:rPr>
      <w:rFonts w:ascii="Cambria" w:hAnsi="Cambria"/>
      <w:b/>
      <w:bCs/>
      <w:kern w:val="28"/>
      <w:sz w:val="32"/>
      <w:szCs w:val="32"/>
    </w:rPr>
  </w:style>
  <w:style w:type="character" w:styleId="a4">
    <w:name w:val="Strong"/>
    <w:uiPriority w:val="22"/>
    <w:qFormat/>
    <w:rsid w:val="00955464"/>
    <w:rPr>
      <w:b/>
      <w:bCs/>
    </w:rPr>
  </w:style>
  <w:style w:type="paragraph" w:styleId="a5">
    <w:name w:val="Normal (Web)"/>
    <w:basedOn w:val="a"/>
    <w:uiPriority w:val="99"/>
    <w:semiHidden/>
    <w:unhideWhenUsed/>
    <w:rsid w:val="006534BD"/>
    <w:pPr>
      <w:widowControl/>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64"/>
    <w:pPr>
      <w:widowControl w:val="0"/>
      <w:spacing w:line="5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955464"/>
    <w:pPr>
      <w:spacing w:before="240" w:after="60" w:line="312" w:lineRule="atLeast"/>
      <w:jc w:val="center"/>
      <w:outlineLvl w:val="1"/>
    </w:pPr>
    <w:rPr>
      <w:rFonts w:ascii="Cambria" w:hAnsi="Cambria"/>
      <w:b/>
      <w:bCs/>
      <w:kern w:val="28"/>
      <w:sz w:val="32"/>
      <w:szCs w:val="32"/>
    </w:rPr>
  </w:style>
  <w:style w:type="character" w:customStyle="1" w:styleId="Char">
    <w:name w:val="副标题 Char"/>
    <w:link w:val="a3"/>
    <w:uiPriority w:val="11"/>
    <w:rsid w:val="00955464"/>
    <w:rPr>
      <w:rFonts w:ascii="Cambria" w:hAnsi="Cambria"/>
      <w:b/>
      <w:bCs/>
      <w:kern w:val="28"/>
      <w:sz w:val="32"/>
      <w:szCs w:val="32"/>
    </w:rPr>
  </w:style>
  <w:style w:type="character" w:styleId="a4">
    <w:name w:val="Strong"/>
    <w:uiPriority w:val="22"/>
    <w:qFormat/>
    <w:rsid w:val="00955464"/>
    <w:rPr>
      <w:b/>
      <w:bCs/>
    </w:rPr>
  </w:style>
  <w:style w:type="paragraph" w:styleId="a5">
    <w:name w:val="Normal (Web)"/>
    <w:basedOn w:val="a"/>
    <w:uiPriority w:val="99"/>
    <w:semiHidden/>
    <w:unhideWhenUsed/>
    <w:rsid w:val="006534BD"/>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2372">
      <w:bodyDiv w:val="1"/>
      <w:marLeft w:val="0"/>
      <w:marRight w:val="0"/>
      <w:marTop w:val="0"/>
      <w:marBottom w:val="0"/>
      <w:divBdr>
        <w:top w:val="none" w:sz="0" w:space="0" w:color="auto"/>
        <w:left w:val="none" w:sz="0" w:space="0" w:color="auto"/>
        <w:bottom w:val="none" w:sz="0" w:space="0" w:color="auto"/>
        <w:right w:val="none" w:sz="0" w:space="0" w:color="auto"/>
      </w:divBdr>
    </w:div>
    <w:div w:id="17373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5</cp:revision>
  <dcterms:created xsi:type="dcterms:W3CDTF">2021-03-18T03:24:00Z</dcterms:created>
  <dcterms:modified xsi:type="dcterms:W3CDTF">2021-03-18T03:30:00Z</dcterms:modified>
</cp:coreProperties>
</file>